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22671C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22671C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22671C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22671C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22671C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позоришне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представе</w:t>
                  </w:r>
                  <w:proofErr w:type="spellEnd"/>
                  <w:r w:rsidR="009920E9">
                    <w:t xml:space="preserve"> "</w:t>
                  </w:r>
                  <w:r w:rsidR="005E3641">
                    <w:rPr>
                      <w:lang w:val="sr-Cyrl-CS"/>
                    </w:rPr>
                    <w:t>Ја сам се заљубишка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22671C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5E3641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22671C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22671C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22671C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22671C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5E3641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22671C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5E3641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22671C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22671C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5E3641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22671C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5E3641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22671C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Уговор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подизвођача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22671C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190F8C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05.08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22671C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190F8C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16.08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22671C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D21156" w:rsidRPr="00FC3484" w:rsidRDefault="00190F8C" w:rsidP="00190F8C">
                  <w:pPr>
                    <w:rPr>
                      <w:rFonts w:cs="Times New Roman"/>
                      <w:bCs/>
                      <w:lang w:val="sr-Cyrl-CS"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Позориште „ПАН ТЕАТАР“, Булевар краља Александра бр.298</w:t>
                  </w:r>
                  <w:r w:rsidRPr="00FB79B2">
                    <w:rPr>
                      <w:rFonts w:cs="Times New Roman"/>
                      <w:bCs/>
                      <w:lang w:val="sr-Cyrl-CS"/>
                    </w:rPr>
                    <w:t>, Београд</w:t>
                  </w:r>
                  <w:r>
                    <w:rPr>
                      <w:rFonts w:cs="Times New Roman"/>
                      <w:bCs/>
                      <w:lang w:val="sr-Cyrl-CS"/>
                    </w:rPr>
                    <w:t>,</w:t>
                  </w:r>
                  <w:r>
                    <w:rPr>
                      <w:w w:val="90"/>
                    </w:rPr>
                    <w:t xml:space="preserve">ПИБ </w:t>
                  </w:r>
                  <w:r>
                    <w:rPr>
                      <w:w w:val="90"/>
                      <w:lang w:val="sr-Cyrl-CS"/>
                    </w:rPr>
                    <w:t>107314672</w:t>
                  </w:r>
                  <w:r w:rsidR="0045610E">
                    <w:rPr>
                      <w:w w:val="90"/>
                    </w:rPr>
                    <w:t>,</w:t>
                  </w:r>
                  <w:r w:rsidR="00FC3484">
                    <w:rPr>
                      <w:w w:val="90"/>
                      <w:lang w:val="sr-Cyrl-CS"/>
                    </w:rPr>
                    <w:t xml:space="preserve"> </w:t>
                  </w:r>
                  <w:proofErr w:type="spellStart"/>
                  <w:r w:rsidR="0045610E">
                    <w:rPr>
                      <w:w w:val="90"/>
                    </w:rPr>
                    <w:t>Матични</w:t>
                  </w:r>
                  <w:proofErr w:type="spellEnd"/>
                  <w:r w:rsidR="0045610E">
                    <w:rPr>
                      <w:w w:val="90"/>
                    </w:rPr>
                    <w:t xml:space="preserve"> </w:t>
                  </w:r>
                  <w:proofErr w:type="spellStart"/>
                  <w:r w:rsidR="0045610E">
                    <w:t>број</w:t>
                  </w:r>
                  <w:proofErr w:type="spellEnd"/>
                  <w:r w:rsidR="0045610E">
                    <w:t xml:space="preserve"> </w:t>
                  </w:r>
                  <w:r w:rsidR="00FC3484">
                    <w:rPr>
                      <w:lang w:val="sr-Cyrl-CS"/>
                    </w:rPr>
                    <w:t>62656433</w:t>
                  </w:r>
                  <w:r w:rsidR="0045610E">
                    <w:t xml:space="preserve">, </w:t>
                  </w:r>
                  <w:proofErr w:type="spellStart"/>
                  <w:r w:rsidR="0045610E">
                    <w:t>законски</w:t>
                  </w:r>
                  <w:proofErr w:type="spellEnd"/>
                  <w:r w:rsidR="0045610E">
                    <w:t xml:space="preserve"> </w:t>
                  </w:r>
                  <w:proofErr w:type="spellStart"/>
                  <w:r w:rsidR="0045610E">
                    <w:t>заступник</w:t>
                  </w:r>
                  <w:proofErr w:type="spellEnd"/>
                  <w:r w:rsidR="0045610E">
                    <w:t xml:space="preserve"> :</w:t>
                  </w:r>
                  <w:r w:rsidR="00FC3484">
                    <w:rPr>
                      <w:lang w:val="sr-Cyrl-CS"/>
                    </w:rPr>
                    <w:t>Ђуро Ђурашковић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22671C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22671C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22671C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190F8C"/>
    <w:rsid w:val="0022671C"/>
    <w:rsid w:val="003C48DC"/>
    <w:rsid w:val="00441173"/>
    <w:rsid w:val="0045610E"/>
    <w:rsid w:val="005E3641"/>
    <w:rsid w:val="00695BCB"/>
    <w:rsid w:val="007A42B2"/>
    <w:rsid w:val="009920E9"/>
    <w:rsid w:val="00C64FC9"/>
    <w:rsid w:val="00D21156"/>
    <w:rsid w:val="00D41B97"/>
    <w:rsid w:val="00F7799B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1547-D928-4893-ACA3-D133308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dcterms:created xsi:type="dcterms:W3CDTF">2019-08-21T09:53:00Z</dcterms:created>
  <dcterms:modified xsi:type="dcterms:W3CDTF">2019-08-21T09:53:00Z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